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39004C" w14:textId="77777777" w:rsidR="00814C5B" w:rsidRDefault="00333C13">
      <w:pPr>
        <w:pStyle w:val="10"/>
        <w:suppressAutoHyphens/>
        <w:ind w:firstLine="567"/>
        <w:jc w:val="center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>Пояснительная записка</w:t>
      </w:r>
    </w:p>
    <w:p w14:paraId="3ECD66F6" w14:textId="77777777" w:rsidR="00814C5B" w:rsidRDefault="00333C13">
      <w:pPr>
        <w:suppressAutoHyphens/>
        <w:ind w:firstLine="567"/>
        <w:jc w:val="center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 xml:space="preserve">к проекту межгосударственного стандарта </w:t>
      </w:r>
    </w:p>
    <w:p w14:paraId="68F3AEE0" w14:textId="77777777" w:rsidR="00814C5B" w:rsidRDefault="00333C13">
      <w:pPr>
        <w:pStyle w:val="10"/>
        <w:suppressAutoHyphens/>
        <w:ind w:firstLine="567"/>
        <w:jc w:val="center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>ГОСТ «</w:t>
      </w:r>
      <w:r>
        <w:rPr>
          <w:rFonts w:ascii="Arial" w:eastAsia="Arial" w:hAnsi="Arial" w:cs="Arial"/>
          <w:b/>
          <w:bCs/>
          <w:kern w:val="1"/>
          <w:szCs w:val="24"/>
        </w:rPr>
        <w:t>Тара. Методы испытаний на герметичность и гидравлическое давление</w:t>
      </w:r>
      <w:r>
        <w:rPr>
          <w:rFonts w:ascii="Arial" w:eastAsia="Arial" w:hAnsi="Arial" w:cs="Arial"/>
          <w:b/>
          <w:bCs/>
          <w:szCs w:val="24"/>
        </w:rPr>
        <w:t>»</w:t>
      </w:r>
    </w:p>
    <w:p w14:paraId="6788BA76" w14:textId="77777777" w:rsidR="00814C5B" w:rsidRDefault="00814C5B">
      <w:pPr>
        <w:pStyle w:val="10"/>
        <w:suppressAutoHyphens/>
        <w:ind w:firstLine="567"/>
        <w:jc w:val="both"/>
        <w:rPr>
          <w:rFonts w:ascii="Arial" w:eastAsia="Arial" w:hAnsi="Arial" w:cs="Arial"/>
          <w:b/>
          <w:szCs w:val="24"/>
        </w:rPr>
      </w:pPr>
    </w:p>
    <w:p w14:paraId="03664113" w14:textId="77777777" w:rsidR="00814C5B" w:rsidRDefault="00333C13">
      <w:pPr>
        <w:pStyle w:val="30"/>
        <w:spacing w:after="0"/>
        <w:ind w:firstLine="56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1 Основание для разработки стандарта</w:t>
      </w:r>
    </w:p>
    <w:p w14:paraId="04DB2137" w14:textId="77777777" w:rsidR="00814C5B" w:rsidRDefault="00333C13">
      <w:pPr>
        <w:pStyle w:val="10"/>
        <w:suppressAutoHyphens/>
        <w:ind w:firstLine="567"/>
        <w:jc w:val="both"/>
        <w:rPr>
          <w:rFonts w:ascii="Arial" w:eastAsia="Arial" w:hAnsi="Arial" w:cs="Arial"/>
          <w:kern w:val="1"/>
          <w:szCs w:val="24"/>
        </w:rPr>
      </w:pPr>
      <w:r>
        <w:rPr>
          <w:rFonts w:ascii="Arial" w:eastAsia="Arial" w:hAnsi="Arial" w:cs="Arial"/>
          <w:kern w:val="1"/>
          <w:szCs w:val="24"/>
        </w:rPr>
        <w:t>Проект межгосударственного стандарта подготовлен в соответствии с приказом председателя Комитета технического регулирования и метрологии Министерства по инвестициям и развитию РК  от 19.07.2017 года № 166-од «Об утверждении Планов государственной стандартизации на 2018-2020 годы (приказ о внесении изменений №39-од от 27.01.2020г., утвержденный председателем Комитета технического регулирования и метрологии Министерства торговли интеграции РК).</w:t>
      </w:r>
    </w:p>
    <w:p w14:paraId="6595EE01" w14:textId="77777777" w:rsidR="00814C5B" w:rsidRDefault="00814C5B">
      <w:pPr>
        <w:pStyle w:val="10"/>
        <w:suppressAutoHyphens/>
        <w:ind w:firstLine="567"/>
        <w:jc w:val="both"/>
        <w:rPr>
          <w:rFonts w:ascii="Arial" w:eastAsia="Arial" w:hAnsi="Arial" w:cs="Arial"/>
          <w:b/>
          <w:szCs w:val="24"/>
        </w:rPr>
      </w:pPr>
    </w:p>
    <w:p w14:paraId="43D890F4" w14:textId="77777777" w:rsidR="00814C5B" w:rsidRDefault="00333C13">
      <w:pPr>
        <w:pStyle w:val="10"/>
        <w:suppressAutoHyphens/>
        <w:ind w:firstLine="567"/>
        <w:jc w:val="both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>2 Характеристика объекта стандартизации:</w:t>
      </w:r>
    </w:p>
    <w:p w14:paraId="2582E0BF" w14:textId="1827E0B7" w:rsidR="00814C5B" w:rsidRDefault="00333C13" w:rsidP="0038627B">
      <w:pPr>
        <w:pStyle w:val="a6"/>
        <w:tabs>
          <w:tab w:val="left" w:pos="851"/>
        </w:tabs>
        <w:ind w:firstLine="567"/>
        <w:jc w:val="both"/>
        <w:rPr>
          <w:rFonts w:ascii="Arial" w:eastAsia="Arial" w:hAnsi="Arial" w:cs="Arial"/>
          <w:b/>
          <w:color w:val="000000"/>
          <w:sz w:val="24"/>
        </w:rPr>
      </w:pPr>
      <w:r>
        <w:rPr>
          <w:rFonts w:ascii="Arial" w:eastAsia="Arial" w:hAnsi="Arial" w:cs="Arial"/>
          <w:color w:val="000000"/>
          <w:sz w:val="24"/>
        </w:rPr>
        <w:t xml:space="preserve">Настоящий </w:t>
      </w:r>
      <w:r>
        <w:rPr>
          <w:rFonts w:ascii="Arial" w:eastAsia="Arial" w:hAnsi="Arial" w:cs="Arial"/>
          <w:color w:val="000000"/>
          <w:kern w:val="1"/>
          <w:sz w:val="24"/>
        </w:rPr>
        <w:t xml:space="preserve">стандарт </w:t>
      </w:r>
      <w:r w:rsidR="0038627B">
        <w:rPr>
          <w:rFonts w:ascii="Arial" w:eastAsia="Arial" w:hAnsi="Arial" w:cs="Arial"/>
          <w:color w:val="000000"/>
          <w:kern w:val="1"/>
          <w:sz w:val="24"/>
        </w:rPr>
        <w:t>устанавливает</w:t>
      </w:r>
      <w:r>
        <w:rPr>
          <w:rFonts w:ascii="Arial" w:eastAsia="Arial" w:hAnsi="Arial" w:cs="Arial"/>
          <w:color w:val="000000"/>
          <w:kern w:val="1"/>
          <w:sz w:val="24"/>
        </w:rPr>
        <w:t xml:space="preserve"> </w:t>
      </w:r>
      <w:r w:rsidR="0038627B">
        <w:rPr>
          <w:rFonts w:ascii="Arial" w:eastAsia="Arial" w:hAnsi="Arial" w:cs="Arial"/>
          <w:color w:val="000000"/>
          <w:kern w:val="1"/>
          <w:sz w:val="24"/>
        </w:rPr>
        <w:t xml:space="preserve">методы испытаний тары на герметичность и гидравлическое давление. </w:t>
      </w:r>
      <w:r>
        <w:rPr>
          <w:rFonts w:ascii="Arial" w:eastAsia="Arial" w:hAnsi="Arial" w:cs="Arial"/>
          <w:color w:val="000000"/>
          <w:sz w:val="24"/>
        </w:rPr>
        <w:t xml:space="preserve">Методы предназначены для контроля металлических и полимерных </w:t>
      </w:r>
      <w:r w:rsidR="0038627B" w:rsidRPr="0038627B">
        <w:rPr>
          <w:rFonts w:ascii="Arial" w:eastAsia="Arial" w:hAnsi="Arial" w:cs="Arial"/>
          <w:bCs/>
          <w:color w:val="000000"/>
          <w:sz w:val="24"/>
        </w:rPr>
        <w:t>видов тары.</w:t>
      </w:r>
    </w:p>
    <w:p w14:paraId="159DC277" w14:textId="73CBE05A" w:rsidR="0038627B" w:rsidRDefault="0038627B" w:rsidP="0038627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Приведенный в проекте стандарта принцип метода заключается, в том</w:t>
      </w:r>
      <w:r w:rsidR="00ED34E7">
        <w:rPr>
          <w:rFonts w:ascii="Arial" w:eastAsia="Arial" w:hAnsi="Arial" w:cs="Arial"/>
          <w:szCs w:val="24"/>
        </w:rPr>
        <w:t>,</w:t>
      </w:r>
      <w:r>
        <w:rPr>
          <w:rFonts w:ascii="Arial" w:eastAsia="Arial" w:hAnsi="Arial" w:cs="Arial"/>
          <w:szCs w:val="24"/>
        </w:rPr>
        <w:t xml:space="preserve"> что тару помещают в резервуар или сосуд с водой. Затем на объект воздействуют в течение определенного времени нагрузкой. При испытаниях пустых единиц упаковки в случае разгерметизации появятся пузырьки воздуха </w:t>
      </w:r>
    </w:p>
    <w:p w14:paraId="30BF7ACD" w14:textId="77777777" w:rsidR="0038627B" w:rsidRDefault="0038627B" w:rsidP="0038627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 xml:space="preserve">Достоинства метода: простота выполнения; высокая чувствительность к трещинам, порам, микродефектам; универсальность (возможен контроль изделий разной формы из различных материалов); высокая достоверность, наглядность результатов проверки. </w:t>
      </w:r>
    </w:p>
    <w:p w14:paraId="28F4CA77" w14:textId="77777777" w:rsidR="00814C5B" w:rsidRDefault="00814C5B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kern w:val="1"/>
          <w:szCs w:val="24"/>
        </w:rPr>
      </w:pPr>
    </w:p>
    <w:p w14:paraId="52081138" w14:textId="77777777" w:rsidR="00814C5B" w:rsidRDefault="00333C13">
      <w:pPr>
        <w:pStyle w:val="10"/>
        <w:ind w:firstLine="567"/>
        <w:jc w:val="both"/>
        <w:rPr>
          <w:rFonts w:ascii="Arial" w:eastAsia="Arial" w:hAnsi="Arial" w:cs="Arial"/>
          <w:b/>
          <w:bCs/>
          <w:szCs w:val="24"/>
        </w:rPr>
      </w:pPr>
      <w:r>
        <w:rPr>
          <w:rFonts w:ascii="Arial" w:eastAsia="Arial" w:hAnsi="Arial" w:cs="Arial"/>
          <w:b/>
          <w:bCs/>
          <w:szCs w:val="24"/>
        </w:rPr>
        <w:t>3 Технико-экономическое обоснование разработки стандарта</w:t>
      </w:r>
    </w:p>
    <w:p w14:paraId="79C6A8FE" w14:textId="7765A729" w:rsidR="0038627B" w:rsidRDefault="0038627B" w:rsidP="0038627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kern w:val="1"/>
          <w:szCs w:val="24"/>
        </w:rPr>
      </w:pPr>
      <w:r>
        <w:rPr>
          <w:rFonts w:ascii="Arial" w:eastAsia="Arial" w:hAnsi="Arial" w:cs="Arial"/>
          <w:szCs w:val="24"/>
        </w:rPr>
        <w:t>Герметичность</w:t>
      </w:r>
      <w:r>
        <w:rPr>
          <w:rFonts w:ascii="Arial" w:eastAsia="Arial" w:hAnsi="Arial" w:cs="Arial"/>
          <w:kern w:val="1"/>
          <w:szCs w:val="24"/>
        </w:rPr>
        <w:t xml:space="preserve"> и гидравлическое давление - одно из основных требований, предъявляемых к упаковке. Качество и продолжительность хранения продуктов зависят не только от состава продукции, но и от вида и санитарного состояния упаковки. От герметичности упаковки зависят сроки годности расфасованной и упакованной продукции. К активным факторам, определяющим воздействие внешней среды </w:t>
      </w:r>
      <w:r w:rsidR="004E160D">
        <w:rPr>
          <w:rFonts w:ascii="Arial" w:eastAsia="Arial" w:hAnsi="Arial" w:cs="Arial"/>
          <w:kern w:val="1"/>
          <w:szCs w:val="24"/>
        </w:rPr>
        <w:t>на продукт,</w:t>
      </w:r>
      <w:r>
        <w:rPr>
          <w:rFonts w:ascii="Arial" w:eastAsia="Arial" w:hAnsi="Arial" w:cs="Arial"/>
          <w:kern w:val="1"/>
          <w:szCs w:val="24"/>
        </w:rPr>
        <w:t xml:space="preserve"> относится кислород, влага, свет, температура, микроорганизмы и другие посторонние вещества (газообразные вещества). </w:t>
      </w:r>
    </w:p>
    <w:p w14:paraId="1A8970F4" w14:textId="246763C0" w:rsidR="00814C5B" w:rsidRDefault="00333C13">
      <w:pPr>
        <w:pStyle w:val="20"/>
        <w:ind w:firstLine="567"/>
        <w:jc w:val="both"/>
        <w:rPr>
          <w:rFonts w:ascii="Arial" w:eastAsia="Arial" w:hAnsi="Arial" w:cs="Arial"/>
          <w:color w:val="000000"/>
          <w:kern w:val="1"/>
          <w:sz w:val="24"/>
          <w:szCs w:val="24"/>
          <w:lang w:eastAsia="zh-CN"/>
        </w:rPr>
      </w:pPr>
      <w:r>
        <w:rPr>
          <w:rFonts w:ascii="Arial" w:eastAsia="Arial" w:hAnsi="Arial" w:cs="Arial"/>
          <w:color w:val="000000"/>
          <w:sz w:val="24"/>
          <w:szCs w:val="24"/>
          <w:lang w:eastAsia="zh-CN"/>
        </w:rPr>
        <w:t xml:space="preserve">Упаковка должна </w:t>
      </w:r>
      <w:r w:rsidR="0038627B">
        <w:rPr>
          <w:rFonts w:ascii="Arial" w:eastAsia="Arial" w:hAnsi="Arial" w:cs="Arial"/>
          <w:color w:val="000000"/>
          <w:sz w:val="24"/>
          <w:szCs w:val="24"/>
          <w:lang w:eastAsia="zh-CN"/>
        </w:rPr>
        <w:t xml:space="preserve">обеспечивать </w:t>
      </w:r>
      <w:r>
        <w:rPr>
          <w:rFonts w:ascii="Arial" w:eastAsia="Arial" w:hAnsi="Arial" w:cs="Arial"/>
          <w:color w:val="000000"/>
          <w:sz w:val="24"/>
          <w:szCs w:val="24"/>
          <w:lang w:eastAsia="zh-CN"/>
        </w:rPr>
        <w:t>герметичн</w:t>
      </w:r>
      <w:r w:rsidR="0038627B">
        <w:rPr>
          <w:rFonts w:ascii="Arial" w:eastAsia="Arial" w:hAnsi="Arial" w:cs="Arial"/>
          <w:color w:val="000000"/>
          <w:sz w:val="24"/>
          <w:szCs w:val="24"/>
          <w:lang w:eastAsia="zh-CN"/>
        </w:rPr>
        <w:t>ость</w:t>
      </w:r>
      <w:r>
        <w:rPr>
          <w:rFonts w:ascii="Arial" w:eastAsia="Arial" w:hAnsi="Arial" w:cs="Arial"/>
          <w:color w:val="000000"/>
          <w:sz w:val="24"/>
          <w:szCs w:val="24"/>
          <w:lang w:eastAsia="zh-CN"/>
        </w:rPr>
        <w:t xml:space="preserve"> при испытании в вакуумной камере и выдержива</w:t>
      </w:r>
      <w:r>
        <w:rPr>
          <w:rFonts w:ascii="Arial" w:eastAsia="Arial" w:hAnsi="Arial" w:cs="Arial"/>
          <w:color w:val="000000"/>
          <w:kern w:val="1"/>
          <w:sz w:val="24"/>
          <w:szCs w:val="24"/>
          <w:lang w:eastAsia="zh-CN"/>
        </w:rPr>
        <w:t>ть остаточное давление</w:t>
      </w:r>
    </w:p>
    <w:p w14:paraId="7865807A" w14:textId="25F7A956" w:rsidR="00814C5B" w:rsidRDefault="00333C13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i/>
          <w:iCs/>
          <w:szCs w:val="24"/>
        </w:rPr>
      </w:pPr>
      <w:r>
        <w:rPr>
          <w:rFonts w:ascii="Arial" w:eastAsia="Arial" w:hAnsi="Arial" w:cs="Arial"/>
          <w:i/>
          <w:iCs/>
          <w:kern w:val="1"/>
          <w:szCs w:val="24"/>
        </w:rPr>
        <w:t>Отсутствие герметичности упаковки пищевой продукции, механические повреждения упа</w:t>
      </w:r>
      <w:r>
        <w:rPr>
          <w:rFonts w:ascii="Arial" w:eastAsia="Arial" w:hAnsi="Arial" w:cs="Arial"/>
          <w:i/>
          <w:iCs/>
          <w:szCs w:val="24"/>
        </w:rPr>
        <w:t>ковки - нарушение требований п</w:t>
      </w:r>
      <w:r w:rsidR="0038627B">
        <w:rPr>
          <w:rFonts w:ascii="Arial" w:eastAsia="Arial" w:hAnsi="Arial" w:cs="Arial"/>
          <w:i/>
          <w:iCs/>
          <w:szCs w:val="24"/>
        </w:rPr>
        <w:t>ункта</w:t>
      </w:r>
      <w:r>
        <w:rPr>
          <w:rFonts w:ascii="Arial" w:eastAsia="Arial" w:hAnsi="Arial" w:cs="Arial"/>
          <w:i/>
          <w:iCs/>
          <w:szCs w:val="24"/>
        </w:rPr>
        <w:t xml:space="preserve"> 3 ст</w:t>
      </w:r>
      <w:r w:rsidR="0038627B">
        <w:rPr>
          <w:rFonts w:ascii="Arial" w:eastAsia="Arial" w:hAnsi="Arial" w:cs="Arial"/>
          <w:i/>
          <w:iCs/>
          <w:szCs w:val="24"/>
        </w:rPr>
        <w:t>атьи</w:t>
      </w:r>
      <w:r>
        <w:rPr>
          <w:rFonts w:ascii="Arial" w:eastAsia="Arial" w:hAnsi="Arial" w:cs="Arial"/>
          <w:i/>
          <w:iCs/>
          <w:szCs w:val="24"/>
        </w:rPr>
        <w:t xml:space="preserve"> 5 ТР ТС 005/2011)</w:t>
      </w:r>
      <w:r w:rsidR="0038627B">
        <w:rPr>
          <w:rFonts w:ascii="Arial" w:eastAsia="Arial" w:hAnsi="Arial" w:cs="Arial"/>
          <w:i/>
          <w:iCs/>
          <w:szCs w:val="24"/>
        </w:rPr>
        <w:t>.</w:t>
      </w:r>
    </w:p>
    <w:p w14:paraId="29280097" w14:textId="31D1E8C7" w:rsidR="00333C13" w:rsidRPr="00333C13" w:rsidRDefault="00333C13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kern w:val="1"/>
          <w:szCs w:val="24"/>
        </w:rPr>
      </w:pPr>
      <w:bookmarkStart w:id="0" w:name="_Hlk34725394"/>
      <w:r w:rsidRPr="00333C13">
        <w:rPr>
          <w:rFonts w:ascii="Arial" w:eastAsia="Arial" w:hAnsi="Arial" w:cs="Arial"/>
          <w:kern w:val="1"/>
          <w:szCs w:val="24"/>
        </w:rPr>
        <w:t xml:space="preserve">Проект стандарта необходим для применения и исполнения требований технического регламента Таможенного союза "О безопасности упаковки" (ТР ТС 005/2011) </w:t>
      </w:r>
      <w:bookmarkStart w:id="1" w:name="_Hlk34725747"/>
      <w:bookmarkStart w:id="2" w:name="_GoBack"/>
      <w:r w:rsidRPr="00333C13">
        <w:rPr>
          <w:rFonts w:ascii="Arial" w:eastAsia="Arial" w:hAnsi="Arial" w:cs="Arial"/>
          <w:kern w:val="1"/>
          <w:szCs w:val="24"/>
        </w:rPr>
        <w:t>и осуществления оценки соответствия объектов технического регулирования</w:t>
      </w:r>
      <w:bookmarkEnd w:id="1"/>
      <w:bookmarkEnd w:id="2"/>
    </w:p>
    <w:bookmarkEnd w:id="0"/>
    <w:p w14:paraId="21835C37" w14:textId="77777777" w:rsidR="00814C5B" w:rsidRDefault="00814C5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SimSun"/>
          <w:kern w:val="1"/>
          <w:sz w:val="23"/>
          <w:szCs w:val="20"/>
        </w:rPr>
      </w:pPr>
    </w:p>
    <w:p w14:paraId="47755D4E" w14:textId="77777777" w:rsidR="00814C5B" w:rsidRDefault="00333C13">
      <w:pPr>
        <w:pStyle w:val="a6"/>
        <w:ind w:firstLine="567"/>
        <w:jc w:val="both"/>
        <w:rPr>
          <w:rFonts w:ascii="Arial" w:eastAsia="Arial" w:hAnsi="Arial" w:cs="Arial"/>
          <w:color w:val="000000"/>
          <w:sz w:val="24"/>
        </w:rPr>
      </w:pPr>
      <w:r>
        <w:rPr>
          <w:rFonts w:ascii="Arial" w:eastAsia="Arial" w:hAnsi="Arial" w:cs="Arial"/>
          <w:b/>
          <w:color w:val="000000"/>
          <w:sz w:val="24"/>
        </w:rPr>
        <w:t>4 Обоснование целесообразности разработки стандарта на межгосударственном уровне</w:t>
      </w:r>
    </w:p>
    <w:p w14:paraId="7C89636E" w14:textId="77777777" w:rsidR="00814C5B" w:rsidRDefault="00333C13">
      <w:pPr>
        <w:pStyle w:val="a6"/>
        <w:ind w:firstLine="567"/>
        <w:jc w:val="both"/>
        <w:rPr>
          <w:rFonts w:ascii="Arial" w:eastAsia="Arial" w:hAnsi="Arial" w:cs="Arial"/>
          <w:color w:val="000000"/>
          <w:sz w:val="24"/>
        </w:rPr>
      </w:pPr>
      <w:r>
        <w:rPr>
          <w:rFonts w:ascii="Arial" w:eastAsia="Arial" w:hAnsi="Arial" w:cs="Arial"/>
          <w:color w:val="000000"/>
          <w:sz w:val="24"/>
        </w:rPr>
        <w:t xml:space="preserve"> Создание единой межгосударственной нормативной базы в данной области</w:t>
      </w:r>
    </w:p>
    <w:p w14:paraId="3DB87AF5" w14:textId="77777777" w:rsidR="00814C5B" w:rsidRDefault="00333C13">
      <w:pPr>
        <w:pStyle w:val="1"/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before="0" w:beforeAutospacing="0" w:after="0" w:afterAutospacing="0"/>
        <w:ind w:firstLine="567"/>
        <w:jc w:val="both"/>
        <w:rPr>
          <w:rFonts w:ascii="Arial" w:eastAsia="Arial" w:hAnsi="Arial" w:cs="Arial"/>
          <w:b w:val="0"/>
          <w:bCs w:val="0"/>
          <w:color w:val="000000"/>
          <w:kern w:val="0"/>
          <w:sz w:val="24"/>
          <w:szCs w:val="24"/>
        </w:rPr>
      </w:pPr>
      <w:r>
        <w:rPr>
          <w:rFonts w:ascii="Arial" w:eastAsia="Arial" w:hAnsi="Arial" w:cs="Arial"/>
          <w:b w:val="0"/>
          <w:bCs w:val="0"/>
          <w:color w:val="000000"/>
          <w:kern w:val="0"/>
          <w:sz w:val="24"/>
          <w:szCs w:val="24"/>
        </w:rPr>
        <w:lastRenderedPageBreak/>
        <w:t>На сегодняшний день действуют другие межгосударственные стандарты на методы испытания герметичности упаковки:</w:t>
      </w:r>
    </w:p>
    <w:p w14:paraId="6951D68D" w14:textId="77777777" w:rsidR="00814C5B" w:rsidRDefault="00333C13">
      <w:pPr>
        <w:pStyle w:val="1"/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before="0" w:beforeAutospacing="0" w:after="0" w:afterAutospacing="0"/>
        <w:ind w:firstLine="567"/>
        <w:jc w:val="both"/>
        <w:rPr>
          <w:rFonts w:ascii="Arial" w:eastAsia="Arial" w:hAnsi="Arial" w:cs="Arial"/>
          <w:b w:val="0"/>
          <w:bCs w:val="0"/>
          <w:color w:val="000000"/>
          <w:kern w:val="0"/>
          <w:sz w:val="24"/>
          <w:szCs w:val="24"/>
        </w:rPr>
      </w:pPr>
      <w:r>
        <w:rPr>
          <w:rFonts w:ascii="Arial" w:eastAsia="Arial" w:hAnsi="Arial" w:cs="Arial"/>
          <w:b w:val="0"/>
          <w:bCs w:val="0"/>
          <w:color w:val="000000"/>
          <w:kern w:val="0"/>
          <w:sz w:val="24"/>
          <w:szCs w:val="24"/>
        </w:rPr>
        <w:t xml:space="preserve">- ГОСТ 33756-2016 Упаковка потребительская полимерная. Общие технические условия с </w:t>
      </w:r>
      <w:proofErr w:type="gramStart"/>
      <w:r>
        <w:rPr>
          <w:rFonts w:ascii="Arial" w:eastAsia="Arial" w:hAnsi="Arial" w:cs="Arial"/>
          <w:b w:val="0"/>
          <w:bCs w:val="0"/>
          <w:color w:val="000000"/>
          <w:kern w:val="0"/>
          <w:sz w:val="24"/>
          <w:szCs w:val="24"/>
        </w:rPr>
        <w:t>применением  вакуумной</w:t>
      </w:r>
      <w:proofErr w:type="gramEnd"/>
      <w:r>
        <w:rPr>
          <w:rFonts w:ascii="Arial" w:eastAsia="Arial" w:hAnsi="Arial" w:cs="Arial"/>
          <w:b w:val="0"/>
          <w:bCs w:val="0"/>
          <w:color w:val="000000"/>
          <w:kern w:val="0"/>
          <w:sz w:val="24"/>
          <w:szCs w:val="24"/>
        </w:rPr>
        <w:t xml:space="preserve"> камеры</w:t>
      </w:r>
    </w:p>
    <w:p w14:paraId="03A0DF5B" w14:textId="77777777" w:rsidR="00814C5B" w:rsidRDefault="00333C13">
      <w:pPr>
        <w:pStyle w:val="1"/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before="0" w:beforeAutospacing="0" w:after="0" w:afterAutospacing="0"/>
        <w:ind w:firstLine="567"/>
        <w:jc w:val="both"/>
        <w:rPr>
          <w:rFonts w:ascii="Arial" w:eastAsia="Arial" w:hAnsi="Arial" w:cs="Arial"/>
          <w:b w:val="0"/>
          <w:bCs w:val="0"/>
          <w:color w:val="000000"/>
          <w:kern w:val="0"/>
          <w:sz w:val="24"/>
          <w:szCs w:val="24"/>
        </w:rPr>
      </w:pPr>
      <w:r>
        <w:rPr>
          <w:rFonts w:ascii="Arial" w:eastAsia="Arial" w:hAnsi="Arial" w:cs="Arial"/>
          <w:b w:val="0"/>
          <w:bCs w:val="0"/>
          <w:color w:val="000000"/>
          <w:kern w:val="0"/>
          <w:sz w:val="24"/>
          <w:szCs w:val="24"/>
        </w:rPr>
        <w:t xml:space="preserve">- ГОСТ 33837-2016 Упаковка полимерная для пищевой продукции. Общие технические условия с применением газового и жидкостного метода </w:t>
      </w:r>
    </w:p>
    <w:p w14:paraId="4DA54A66" w14:textId="77777777" w:rsidR="00814C5B" w:rsidRDefault="00333C13">
      <w:pPr>
        <w:pStyle w:val="1"/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before="0" w:beforeAutospacing="0" w:after="0" w:afterAutospacing="0"/>
        <w:ind w:firstLine="567"/>
        <w:jc w:val="both"/>
        <w:rPr>
          <w:rFonts w:ascii="Arial" w:eastAsia="Arial" w:hAnsi="Arial" w:cs="Arial"/>
          <w:b w:val="0"/>
          <w:bCs w:val="0"/>
          <w:color w:val="000000"/>
          <w:kern w:val="0"/>
          <w:sz w:val="24"/>
          <w:szCs w:val="24"/>
        </w:rPr>
      </w:pPr>
      <w:r>
        <w:rPr>
          <w:rFonts w:ascii="Arial" w:eastAsia="Arial" w:hAnsi="Arial" w:cs="Arial"/>
          <w:b w:val="0"/>
          <w:bCs w:val="0"/>
          <w:color w:val="000000"/>
          <w:kern w:val="0"/>
          <w:sz w:val="24"/>
          <w:szCs w:val="24"/>
        </w:rPr>
        <w:t>- ГОСТ 32736-2014 Упаковка потребительская из комбинированных материалов. Общие технические условия</w:t>
      </w:r>
    </w:p>
    <w:p w14:paraId="59240890" w14:textId="77777777" w:rsidR="00814C5B" w:rsidRDefault="00814C5B">
      <w:pPr>
        <w:tabs>
          <w:tab w:val="left" w:pos="540"/>
        </w:tabs>
        <w:ind w:firstLine="567"/>
        <w:jc w:val="both"/>
        <w:rPr>
          <w:rFonts w:ascii="Arial" w:eastAsia="Arial" w:hAnsi="Arial" w:cs="Arial"/>
          <w:b/>
          <w:szCs w:val="24"/>
        </w:rPr>
      </w:pPr>
    </w:p>
    <w:p w14:paraId="56697086" w14:textId="77777777" w:rsidR="00814C5B" w:rsidRDefault="00333C13">
      <w:pPr>
        <w:tabs>
          <w:tab w:val="left" w:pos="540"/>
        </w:tabs>
        <w:ind w:firstLine="567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b/>
          <w:szCs w:val="24"/>
        </w:rPr>
        <w:t xml:space="preserve">5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международного стандарта </w:t>
      </w:r>
    </w:p>
    <w:p w14:paraId="260EBA52" w14:textId="77777777" w:rsidR="00814C5B" w:rsidRDefault="00333C13">
      <w:pPr>
        <w:ind w:firstLine="567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Настоящий проект стандарта соответствует ГОСТ 1.0-1992 «Межгосударственная система стандартизации. Основные положения», ГОСТ 1.2-2009 «Межгосударственная система стандартизации. Стандарты межгосударственные, правила и рекомендации по межгосударственной стандартизации. Порядок разработки, принятия, применения, обновления и отмены», ГОСТ 1.3-2008 «Межгосударственная система стандартизации. Правила и методы принятия международных и региональных стандартов в качестве межгосударственных стандартов», ГОСТ 1.5-2001</w:t>
      </w:r>
      <w:r>
        <w:rPr>
          <w:rFonts w:ascii="Arial" w:eastAsia="Arial" w:hAnsi="Arial" w:cs="Arial"/>
          <w:b/>
          <w:i/>
          <w:szCs w:val="24"/>
        </w:rPr>
        <w:t xml:space="preserve"> </w:t>
      </w:r>
      <w:r>
        <w:rPr>
          <w:rFonts w:ascii="Arial" w:eastAsia="Arial" w:hAnsi="Arial" w:cs="Arial"/>
          <w:szCs w:val="24"/>
        </w:rPr>
        <w:t>«Межгосударственная система стандартизации. Стандарты межгосударственные,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обозначению».</w:t>
      </w:r>
    </w:p>
    <w:p w14:paraId="1E0E9603" w14:textId="77777777" w:rsidR="00814C5B" w:rsidRDefault="00814C5B">
      <w:pPr>
        <w:ind w:firstLine="567"/>
        <w:jc w:val="both"/>
        <w:rPr>
          <w:rFonts w:ascii="Arial" w:eastAsia="Arial" w:hAnsi="Arial" w:cs="Arial"/>
          <w:b/>
          <w:szCs w:val="24"/>
        </w:rPr>
      </w:pPr>
    </w:p>
    <w:p w14:paraId="309DA9BD" w14:textId="77777777" w:rsidR="00814C5B" w:rsidRDefault="00333C13">
      <w:pPr>
        <w:ind w:firstLine="567"/>
        <w:jc w:val="both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>6 Предложения по изменению, пересмотру или отмене межгосударственных стандартов, противоречащих предложенному проекту стандарта</w:t>
      </w:r>
    </w:p>
    <w:p w14:paraId="2B85776D" w14:textId="77777777" w:rsidR="00814C5B" w:rsidRDefault="00814C5B">
      <w:pPr>
        <w:ind w:firstLine="567"/>
        <w:jc w:val="both"/>
        <w:rPr>
          <w:rFonts w:ascii="Arial" w:eastAsia="Arial" w:hAnsi="Arial" w:cs="Arial"/>
          <w:b/>
          <w:szCs w:val="24"/>
        </w:rPr>
      </w:pPr>
    </w:p>
    <w:p w14:paraId="3A435A2E" w14:textId="77777777" w:rsidR="00814C5B" w:rsidRDefault="00333C13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Разрабатываемый стандарт не влечет за собой внесения изменений или отмены других нормативных документов.</w:t>
      </w:r>
    </w:p>
    <w:p w14:paraId="44E7586C" w14:textId="77777777" w:rsidR="00814C5B" w:rsidRPr="0038627B" w:rsidRDefault="00814C5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b/>
          <w:bCs/>
          <w:szCs w:val="24"/>
        </w:rPr>
      </w:pPr>
    </w:p>
    <w:p w14:paraId="7A380C89" w14:textId="77777777" w:rsidR="00814C5B" w:rsidRPr="0038627B" w:rsidRDefault="00333C13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b/>
          <w:bCs/>
          <w:szCs w:val="24"/>
        </w:rPr>
      </w:pPr>
      <w:r w:rsidRPr="0038627B">
        <w:rPr>
          <w:rFonts w:ascii="Arial" w:eastAsia="Arial" w:hAnsi="Arial" w:cs="Arial"/>
          <w:b/>
          <w:bCs/>
          <w:szCs w:val="24"/>
        </w:rPr>
        <w:t xml:space="preserve">7 Информация о национальных органах, проголосовавших за </w:t>
      </w:r>
      <w:proofErr w:type="gramStart"/>
      <w:r w:rsidRPr="0038627B">
        <w:rPr>
          <w:rFonts w:ascii="Arial" w:eastAsia="Arial" w:hAnsi="Arial" w:cs="Arial"/>
          <w:b/>
          <w:bCs/>
          <w:szCs w:val="24"/>
        </w:rPr>
        <w:t>принятие  стандарта</w:t>
      </w:r>
      <w:proofErr w:type="gramEnd"/>
    </w:p>
    <w:p w14:paraId="5345D3C9" w14:textId="77777777" w:rsidR="00814C5B" w:rsidRPr="0038627B" w:rsidRDefault="00814C5B">
      <w:pPr>
        <w:ind w:firstLine="567"/>
        <w:jc w:val="both"/>
        <w:rPr>
          <w:rFonts w:ascii="Arial" w:eastAsia="Arial" w:hAnsi="Arial" w:cs="Arial"/>
          <w:szCs w:val="24"/>
        </w:rPr>
      </w:pPr>
    </w:p>
    <w:p w14:paraId="38DAB524" w14:textId="77777777" w:rsidR="00814C5B" w:rsidRDefault="00333C13">
      <w:pPr>
        <w:ind w:firstLine="567"/>
        <w:jc w:val="both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 xml:space="preserve">8 Перечень исходных документов и другие источники информации, использованные при разработке стандарта </w:t>
      </w:r>
    </w:p>
    <w:p w14:paraId="3963E7DE" w14:textId="77777777" w:rsidR="00814C5B" w:rsidRDefault="00333C13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- Технический регламент Таможенного Союза ТР ТС 005/2011«О безопасности упаковки»</w:t>
      </w:r>
    </w:p>
    <w:p w14:paraId="6BC6C1A6" w14:textId="6D68E71D" w:rsidR="00333C13" w:rsidRDefault="00333C13" w:rsidP="00333C13">
      <w:pPr>
        <w:ind w:firstLine="567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 xml:space="preserve">- ГОСТ Р 51827-2001 «Тара. Методы испытаний на герметичность и гидравлическое давление». </w:t>
      </w:r>
    </w:p>
    <w:p w14:paraId="42FFE109" w14:textId="78617182" w:rsidR="00333C13" w:rsidRDefault="00333C13" w:rsidP="00333C13">
      <w:pPr>
        <w:ind w:firstLine="567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 xml:space="preserve">- СТБ ГОСТ Р 51827-2002 «Тара. Методы испытаний на герметичность и гидравлическое давление». </w:t>
      </w:r>
    </w:p>
    <w:p w14:paraId="519304B9" w14:textId="77777777" w:rsidR="00333C13" w:rsidRDefault="00333C13" w:rsidP="00333C13">
      <w:pPr>
        <w:ind w:firstLine="567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 xml:space="preserve">- СТ РК ГОСТ Р 51827-2008 «Тара. Методы испытаний на герметичность и гидравлическое давление». </w:t>
      </w:r>
    </w:p>
    <w:p w14:paraId="7A53347B" w14:textId="77777777" w:rsidR="00814C5B" w:rsidRDefault="00333C13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- 2004/12/EC Директива Европейского Парламента и Совета от 11 февраля 2004 г., вносящая изменения в Директиву 94/62/ЕС, касающуюся упаковки и отходов от упаковки</w:t>
      </w:r>
    </w:p>
    <w:p w14:paraId="6511421A" w14:textId="77777777" w:rsidR="00814C5B" w:rsidRDefault="00333C13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- 94/62/ЕС Директива Европейского Парламента и Совета от 20 декабря 1994 г. относительно сближения законодательств государств-членов, касающихся упаковки и отходов от упаковки</w:t>
      </w:r>
    </w:p>
    <w:p w14:paraId="6221BD2E" w14:textId="77777777" w:rsidR="00814C5B" w:rsidRDefault="00814C5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kern w:val="1"/>
          <w:szCs w:val="24"/>
        </w:rPr>
      </w:pPr>
    </w:p>
    <w:p w14:paraId="43637077" w14:textId="77777777" w:rsidR="00814C5B" w:rsidRDefault="00333C13">
      <w:pPr>
        <w:pStyle w:val="10"/>
        <w:suppressAutoHyphens/>
        <w:ind w:firstLine="567"/>
        <w:jc w:val="both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lastRenderedPageBreak/>
        <w:t>9 Данные о разработчике</w:t>
      </w:r>
    </w:p>
    <w:p w14:paraId="58DE6E81" w14:textId="77777777" w:rsidR="00814C5B" w:rsidRDefault="00333C13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РГП на ПХВ «Казахстанский институт стандартизации и сертификации» Комитетом технического регулирования и метрологии Министерства торговли и интеграции Республики Казахстан</w:t>
      </w:r>
    </w:p>
    <w:p w14:paraId="68422C91" w14:textId="77777777" w:rsidR="00814C5B" w:rsidRDefault="00333C13">
      <w:pPr>
        <w:ind w:firstLine="567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Адрес: Республика Казахстан</w:t>
      </w:r>
    </w:p>
    <w:p w14:paraId="4DB4B17C" w14:textId="77777777" w:rsidR="00814C5B" w:rsidRDefault="00333C13">
      <w:pPr>
        <w:ind w:firstLine="567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 xml:space="preserve">010000, г. Астана, пр. </w:t>
      </w:r>
      <w:r>
        <w:rPr>
          <w:rFonts w:ascii="Arial" w:eastAsia="Arial" w:hAnsi="Arial" w:cs="Arial"/>
          <w:szCs w:val="24"/>
          <w:lang w:val="kk-KZ"/>
        </w:rPr>
        <w:t>Мәнгілік ел</w:t>
      </w:r>
      <w:r>
        <w:rPr>
          <w:rFonts w:ascii="Arial" w:eastAsia="Arial" w:hAnsi="Arial" w:cs="Arial"/>
          <w:szCs w:val="24"/>
        </w:rPr>
        <w:t xml:space="preserve"> 11, здание «Эталонный центр»</w:t>
      </w:r>
    </w:p>
    <w:p w14:paraId="2809B0B9" w14:textId="77777777" w:rsidR="00814C5B" w:rsidRDefault="00333C13">
      <w:pPr>
        <w:ind w:firstLine="567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Тел. 8 (7172) 44-64-24</w:t>
      </w:r>
    </w:p>
    <w:p w14:paraId="16CD7869" w14:textId="77777777" w:rsidR="00814C5B" w:rsidRDefault="00814C5B">
      <w:pPr>
        <w:suppressAutoHyphens/>
        <w:ind w:firstLine="567"/>
        <w:jc w:val="both"/>
        <w:rPr>
          <w:rFonts w:ascii="Arial" w:eastAsia="Arial" w:hAnsi="Arial" w:cs="Arial"/>
          <w:szCs w:val="24"/>
        </w:rPr>
      </w:pPr>
    </w:p>
    <w:p w14:paraId="63910765" w14:textId="77777777" w:rsidR="00814C5B" w:rsidRDefault="00333C13">
      <w:pPr>
        <w:ind w:firstLine="567"/>
        <w:jc w:val="both"/>
        <w:rPr>
          <w:rFonts w:ascii="Arial" w:eastAsia="Arial" w:hAnsi="Arial" w:cs="Arial"/>
          <w:b/>
          <w:bCs/>
          <w:szCs w:val="24"/>
        </w:rPr>
      </w:pPr>
      <w:r>
        <w:rPr>
          <w:rFonts w:ascii="Arial" w:eastAsia="Arial" w:hAnsi="Arial" w:cs="Arial"/>
          <w:b/>
          <w:bCs/>
          <w:szCs w:val="24"/>
        </w:rPr>
        <w:t>Заместитель</w:t>
      </w:r>
    </w:p>
    <w:p w14:paraId="4DD590D2" w14:textId="77777777" w:rsidR="00814C5B" w:rsidRDefault="00333C13">
      <w:pPr>
        <w:ind w:firstLine="567"/>
        <w:jc w:val="both"/>
        <w:rPr>
          <w:rFonts w:ascii="Arial" w:eastAsia="Arial" w:hAnsi="Arial" w:cs="Arial"/>
          <w:b/>
          <w:bCs/>
          <w:szCs w:val="24"/>
        </w:rPr>
      </w:pPr>
      <w:r>
        <w:rPr>
          <w:rFonts w:ascii="Arial" w:eastAsia="Arial" w:hAnsi="Arial" w:cs="Arial"/>
          <w:b/>
          <w:bCs/>
          <w:szCs w:val="24"/>
        </w:rPr>
        <w:t>Генерального директора                                                                И.В. Хамитов</w:t>
      </w:r>
    </w:p>
    <w:p w14:paraId="1521AE0B" w14:textId="77777777" w:rsidR="00814C5B" w:rsidRDefault="00814C5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kern w:val="1"/>
          <w:szCs w:val="24"/>
        </w:rPr>
      </w:pPr>
    </w:p>
    <w:p w14:paraId="40C57E69" w14:textId="738F6187" w:rsidR="0038627B" w:rsidRDefault="0038627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kern w:val="1"/>
          <w:szCs w:val="24"/>
        </w:rPr>
      </w:pPr>
    </w:p>
    <w:p w14:paraId="2C9A1687" w14:textId="77777777" w:rsidR="0038627B" w:rsidRDefault="0038627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kern w:val="1"/>
          <w:szCs w:val="24"/>
        </w:rPr>
      </w:pPr>
    </w:p>
    <w:sectPr w:rsidR="0038627B">
      <w:endnotePr>
        <w:numFmt w:val="decimal"/>
      </w:endnotePr>
      <w:pgSz w:w="11906" w:h="16838"/>
      <w:pgMar w:top="1134" w:right="1134" w:bottom="1134" w:left="1134" w:header="0" w:footer="0" w:gutter="0"/>
      <w:paperSrc w:first="7" w:other="7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Kaz">
    <w:charset w:val="00"/>
    <w:family w:val="swiss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D5A01"/>
    <w:multiLevelType w:val="hybridMultilevel"/>
    <w:tmpl w:val="4B92A644"/>
    <w:name w:val="Нумерованный список 2"/>
    <w:lvl w:ilvl="0" w:tplc="EC7A9E56">
      <w:start w:val="1"/>
      <w:numFmt w:val="decimal"/>
      <w:lvlText w:val="%1."/>
      <w:lvlJc w:val="left"/>
      <w:pPr>
        <w:ind w:left="709" w:firstLine="0"/>
      </w:pPr>
    </w:lvl>
    <w:lvl w:ilvl="1" w:tplc="E2E2841C">
      <w:start w:val="1"/>
      <w:numFmt w:val="lowerLetter"/>
      <w:lvlText w:val="%2."/>
      <w:lvlJc w:val="left"/>
      <w:pPr>
        <w:ind w:left="1080" w:firstLine="0"/>
      </w:pPr>
    </w:lvl>
    <w:lvl w:ilvl="2" w:tplc="97A6333E">
      <w:start w:val="1"/>
      <w:numFmt w:val="lowerRoman"/>
      <w:lvlText w:val="%3."/>
      <w:lvlJc w:val="left"/>
      <w:pPr>
        <w:ind w:left="1980" w:firstLine="0"/>
      </w:pPr>
    </w:lvl>
    <w:lvl w:ilvl="3" w:tplc="59824DEC">
      <w:start w:val="1"/>
      <w:numFmt w:val="decimal"/>
      <w:lvlText w:val="%4."/>
      <w:lvlJc w:val="left"/>
      <w:pPr>
        <w:ind w:left="2520" w:firstLine="0"/>
      </w:pPr>
    </w:lvl>
    <w:lvl w:ilvl="4" w:tplc="E0DC06F8">
      <w:start w:val="1"/>
      <w:numFmt w:val="lowerLetter"/>
      <w:lvlText w:val="%5."/>
      <w:lvlJc w:val="left"/>
      <w:pPr>
        <w:ind w:left="3240" w:firstLine="0"/>
      </w:pPr>
    </w:lvl>
    <w:lvl w:ilvl="5" w:tplc="CC849CB2">
      <w:start w:val="1"/>
      <w:numFmt w:val="lowerRoman"/>
      <w:lvlText w:val="%6."/>
      <w:lvlJc w:val="left"/>
      <w:pPr>
        <w:ind w:left="4140" w:firstLine="0"/>
      </w:pPr>
    </w:lvl>
    <w:lvl w:ilvl="6" w:tplc="D486A13C">
      <w:start w:val="1"/>
      <w:numFmt w:val="decimal"/>
      <w:lvlText w:val="%7."/>
      <w:lvlJc w:val="left"/>
      <w:pPr>
        <w:ind w:left="4680" w:firstLine="0"/>
      </w:pPr>
    </w:lvl>
    <w:lvl w:ilvl="7" w:tplc="2B524B54">
      <w:start w:val="1"/>
      <w:numFmt w:val="lowerLetter"/>
      <w:lvlText w:val="%8."/>
      <w:lvlJc w:val="left"/>
      <w:pPr>
        <w:ind w:left="5400" w:firstLine="0"/>
      </w:pPr>
    </w:lvl>
    <w:lvl w:ilvl="8" w:tplc="6CC89812">
      <w:start w:val="1"/>
      <w:numFmt w:val="lowerRoman"/>
      <w:lvlText w:val="%9."/>
      <w:lvlJc w:val="left"/>
      <w:pPr>
        <w:ind w:left="6300" w:firstLine="0"/>
      </w:pPr>
    </w:lvl>
  </w:abstractNum>
  <w:abstractNum w:abstractNumId="1" w15:restartNumberingAfterBreak="0">
    <w:nsid w:val="1A711F43"/>
    <w:multiLevelType w:val="hybridMultilevel"/>
    <w:tmpl w:val="F5A44EFE"/>
    <w:name w:val="Нумерованный список 4"/>
    <w:lvl w:ilvl="0" w:tplc="F3DCECEE">
      <w:start w:val="1"/>
      <w:numFmt w:val="decimal"/>
      <w:lvlText w:val="%1."/>
      <w:lvlJc w:val="left"/>
      <w:pPr>
        <w:ind w:left="1069" w:firstLine="0"/>
      </w:pPr>
    </w:lvl>
    <w:lvl w:ilvl="1" w:tplc="20826038">
      <w:start w:val="1"/>
      <w:numFmt w:val="lowerLetter"/>
      <w:lvlText w:val="%2."/>
      <w:lvlJc w:val="left"/>
      <w:pPr>
        <w:ind w:left="1789" w:firstLine="0"/>
      </w:pPr>
    </w:lvl>
    <w:lvl w:ilvl="2" w:tplc="C2CCC78C">
      <w:start w:val="1"/>
      <w:numFmt w:val="lowerRoman"/>
      <w:lvlText w:val="%3."/>
      <w:lvlJc w:val="left"/>
      <w:pPr>
        <w:ind w:left="2689" w:firstLine="0"/>
      </w:pPr>
    </w:lvl>
    <w:lvl w:ilvl="3" w:tplc="DF5C5434">
      <w:start w:val="1"/>
      <w:numFmt w:val="decimal"/>
      <w:lvlText w:val="%4."/>
      <w:lvlJc w:val="left"/>
      <w:pPr>
        <w:ind w:left="3229" w:firstLine="0"/>
      </w:pPr>
    </w:lvl>
    <w:lvl w:ilvl="4" w:tplc="C3481EAC">
      <w:start w:val="1"/>
      <w:numFmt w:val="lowerLetter"/>
      <w:lvlText w:val="%5."/>
      <w:lvlJc w:val="left"/>
      <w:pPr>
        <w:ind w:left="3949" w:firstLine="0"/>
      </w:pPr>
    </w:lvl>
    <w:lvl w:ilvl="5" w:tplc="EDC2BAD0">
      <w:start w:val="1"/>
      <w:numFmt w:val="lowerRoman"/>
      <w:lvlText w:val="%6."/>
      <w:lvlJc w:val="left"/>
      <w:pPr>
        <w:ind w:left="4849" w:firstLine="0"/>
      </w:pPr>
    </w:lvl>
    <w:lvl w:ilvl="6" w:tplc="74B4B4A6">
      <w:start w:val="1"/>
      <w:numFmt w:val="decimal"/>
      <w:lvlText w:val="%7."/>
      <w:lvlJc w:val="left"/>
      <w:pPr>
        <w:ind w:left="5389" w:firstLine="0"/>
      </w:pPr>
    </w:lvl>
    <w:lvl w:ilvl="7" w:tplc="D396DE24">
      <w:start w:val="1"/>
      <w:numFmt w:val="lowerLetter"/>
      <w:lvlText w:val="%8."/>
      <w:lvlJc w:val="left"/>
      <w:pPr>
        <w:ind w:left="6109" w:firstLine="0"/>
      </w:pPr>
    </w:lvl>
    <w:lvl w:ilvl="8" w:tplc="95880524">
      <w:start w:val="1"/>
      <w:numFmt w:val="lowerRoman"/>
      <w:lvlText w:val="%9."/>
      <w:lvlJc w:val="left"/>
      <w:pPr>
        <w:ind w:left="7009" w:firstLine="0"/>
      </w:pPr>
    </w:lvl>
  </w:abstractNum>
  <w:abstractNum w:abstractNumId="2" w15:restartNumberingAfterBreak="0">
    <w:nsid w:val="1F397689"/>
    <w:multiLevelType w:val="hybridMultilevel"/>
    <w:tmpl w:val="6E8EBCBC"/>
    <w:lvl w:ilvl="0" w:tplc="177068A6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232E1C6E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FAA2C12A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FAB224C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03E0AA2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5CA0E8B2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81E0167C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D88AC142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97504F9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C097032"/>
    <w:multiLevelType w:val="hybridMultilevel"/>
    <w:tmpl w:val="F9A02156"/>
    <w:name w:val="Нумерованный список 3"/>
    <w:lvl w:ilvl="0" w:tplc="34F61ECE">
      <w:start w:val="1"/>
      <w:numFmt w:val="decimal"/>
      <w:lvlText w:val="%1."/>
      <w:lvlJc w:val="left"/>
      <w:pPr>
        <w:ind w:left="1069" w:firstLine="0"/>
      </w:pPr>
    </w:lvl>
    <w:lvl w:ilvl="1" w:tplc="387C5A24">
      <w:start w:val="1"/>
      <w:numFmt w:val="lowerLetter"/>
      <w:lvlText w:val="%2."/>
      <w:lvlJc w:val="left"/>
      <w:pPr>
        <w:ind w:left="1789" w:firstLine="0"/>
      </w:pPr>
    </w:lvl>
    <w:lvl w:ilvl="2" w:tplc="98B614B4">
      <w:start w:val="1"/>
      <w:numFmt w:val="lowerRoman"/>
      <w:lvlText w:val="%3."/>
      <w:lvlJc w:val="left"/>
      <w:pPr>
        <w:ind w:left="2689" w:firstLine="0"/>
      </w:pPr>
    </w:lvl>
    <w:lvl w:ilvl="3" w:tplc="882CA7A8">
      <w:start w:val="1"/>
      <w:numFmt w:val="decimal"/>
      <w:lvlText w:val="%4."/>
      <w:lvlJc w:val="left"/>
      <w:pPr>
        <w:ind w:left="3229" w:firstLine="0"/>
      </w:pPr>
    </w:lvl>
    <w:lvl w:ilvl="4" w:tplc="4F387240">
      <w:start w:val="1"/>
      <w:numFmt w:val="lowerLetter"/>
      <w:lvlText w:val="%5."/>
      <w:lvlJc w:val="left"/>
      <w:pPr>
        <w:ind w:left="3949" w:firstLine="0"/>
      </w:pPr>
    </w:lvl>
    <w:lvl w:ilvl="5" w:tplc="7242D0B2">
      <w:start w:val="1"/>
      <w:numFmt w:val="lowerRoman"/>
      <w:lvlText w:val="%6."/>
      <w:lvlJc w:val="left"/>
      <w:pPr>
        <w:ind w:left="4849" w:firstLine="0"/>
      </w:pPr>
    </w:lvl>
    <w:lvl w:ilvl="6" w:tplc="B6A0915E">
      <w:start w:val="1"/>
      <w:numFmt w:val="decimal"/>
      <w:lvlText w:val="%7."/>
      <w:lvlJc w:val="left"/>
      <w:pPr>
        <w:ind w:left="5389" w:firstLine="0"/>
      </w:pPr>
    </w:lvl>
    <w:lvl w:ilvl="7" w:tplc="3B020936">
      <w:start w:val="1"/>
      <w:numFmt w:val="lowerLetter"/>
      <w:lvlText w:val="%8."/>
      <w:lvlJc w:val="left"/>
      <w:pPr>
        <w:ind w:left="6109" w:firstLine="0"/>
      </w:pPr>
    </w:lvl>
    <w:lvl w:ilvl="8" w:tplc="D68C534E">
      <w:start w:val="1"/>
      <w:numFmt w:val="lowerRoman"/>
      <w:lvlText w:val="%9."/>
      <w:lvlJc w:val="left"/>
      <w:pPr>
        <w:ind w:left="7009" w:firstLine="0"/>
      </w:pPr>
    </w:lvl>
  </w:abstractNum>
  <w:abstractNum w:abstractNumId="4" w15:restartNumberingAfterBreak="0">
    <w:nsid w:val="55752798"/>
    <w:multiLevelType w:val="hybridMultilevel"/>
    <w:tmpl w:val="610A2792"/>
    <w:name w:val="Нумерованный список 5"/>
    <w:lvl w:ilvl="0" w:tplc="921CE7D6">
      <w:start w:val="1"/>
      <w:numFmt w:val="decimal"/>
      <w:lvlText w:val="%1."/>
      <w:lvlJc w:val="left"/>
      <w:pPr>
        <w:ind w:left="360" w:firstLine="0"/>
      </w:pPr>
    </w:lvl>
    <w:lvl w:ilvl="1" w:tplc="A08ED6A0">
      <w:start w:val="1"/>
      <w:numFmt w:val="lowerLetter"/>
      <w:lvlText w:val="%2."/>
      <w:lvlJc w:val="left"/>
      <w:pPr>
        <w:ind w:left="1080" w:firstLine="0"/>
      </w:pPr>
    </w:lvl>
    <w:lvl w:ilvl="2" w:tplc="6F1CEDE0">
      <w:start w:val="1"/>
      <w:numFmt w:val="lowerRoman"/>
      <w:lvlText w:val="%3."/>
      <w:lvlJc w:val="left"/>
      <w:pPr>
        <w:ind w:left="1980" w:firstLine="0"/>
      </w:pPr>
    </w:lvl>
    <w:lvl w:ilvl="3" w:tplc="4874E6C2">
      <w:start w:val="1"/>
      <w:numFmt w:val="decimal"/>
      <w:lvlText w:val="%4."/>
      <w:lvlJc w:val="left"/>
      <w:pPr>
        <w:ind w:left="2520" w:firstLine="0"/>
      </w:pPr>
    </w:lvl>
    <w:lvl w:ilvl="4" w:tplc="51580854">
      <w:start w:val="1"/>
      <w:numFmt w:val="lowerLetter"/>
      <w:lvlText w:val="%5."/>
      <w:lvlJc w:val="left"/>
      <w:pPr>
        <w:ind w:left="3240" w:firstLine="0"/>
      </w:pPr>
    </w:lvl>
    <w:lvl w:ilvl="5" w:tplc="EE249442">
      <w:start w:val="1"/>
      <w:numFmt w:val="lowerRoman"/>
      <w:lvlText w:val="%6."/>
      <w:lvlJc w:val="left"/>
      <w:pPr>
        <w:ind w:left="4140" w:firstLine="0"/>
      </w:pPr>
    </w:lvl>
    <w:lvl w:ilvl="6" w:tplc="40B4B428">
      <w:start w:val="1"/>
      <w:numFmt w:val="decimal"/>
      <w:lvlText w:val="%7."/>
      <w:lvlJc w:val="left"/>
      <w:pPr>
        <w:ind w:left="4680" w:firstLine="0"/>
      </w:pPr>
    </w:lvl>
    <w:lvl w:ilvl="7" w:tplc="DA1639C6">
      <w:start w:val="1"/>
      <w:numFmt w:val="lowerLetter"/>
      <w:lvlText w:val="%8."/>
      <w:lvlJc w:val="left"/>
      <w:pPr>
        <w:ind w:left="5400" w:firstLine="0"/>
      </w:pPr>
    </w:lvl>
    <w:lvl w:ilvl="8" w:tplc="CE063EA6">
      <w:start w:val="1"/>
      <w:numFmt w:val="lowerRoman"/>
      <w:lvlText w:val="%9."/>
      <w:lvlJc w:val="left"/>
      <w:pPr>
        <w:ind w:left="6300" w:firstLine="0"/>
      </w:pPr>
    </w:lvl>
  </w:abstractNum>
  <w:abstractNum w:abstractNumId="5" w15:restartNumberingAfterBreak="0">
    <w:nsid w:val="57AF18F4"/>
    <w:multiLevelType w:val="hybridMultilevel"/>
    <w:tmpl w:val="138E7764"/>
    <w:name w:val="Нумерованный список 7"/>
    <w:lvl w:ilvl="0" w:tplc="CC602D5A">
      <w:start w:val="1"/>
      <w:numFmt w:val="decimal"/>
      <w:lvlText w:val="%1."/>
      <w:lvlJc w:val="left"/>
      <w:pPr>
        <w:ind w:left="360" w:firstLine="0"/>
      </w:pPr>
    </w:lvl>
    <w:lvl w:ilvl="1" w:tplc="62C8E712">
      <w:start w:val="1"/>
      <w:numFmt w:val="lowerLetter"/>
      <w:lvlText w:val="%2."/>
      <w:lvlJc w:val="left"/>
      <w:pPr>
        <w:ind w:left="1080" w:firstLine="0"/>
      </w:pPr>
    </w:lvl>
    <w:lvl w:ilvl="2" w:tplc="55FCFCB2">
      <w:start w:val="1"/>
      <w:numFmt w:val="lowerRoman"/>
      <w:lvlText w:val="%3."/>
      <w:lvlJc w:val="left"/>
      <w:pPr>
        <w:ind w:left="1980" w:firstLine="0"/>
      </w:pPr>
    </w:lvl>
    <w:lvl w:ilvl="3" w:tplc="C27C98EA">
      <w:start w:val="1"/>
      <w:numFmt w:val="decimal"/>
      <w:lvlText w:val="%4."/>
      <w:lvlJc w:val="left"/>
      <w:pPr>
        <w:ind w:left="2520" w:firstLine="0"/>
      </w:pPr>
    </w:lvl>
    <w:lvl w:ilvl="4" w:tplc="BF5EFF74">
      <w:start w:val="1"/>
      <w:numFmt w:val="lowerLetter"/>
      <w:lvlText w:val="%5."/>
      <w:lvlJc w:val="left"/>
      <w:pPr>
        <w:ind w:left="3240" w:firstLine="0"/>
      </w:pPr>
    </w:lvl>
    <w:lvl w:ilvl="5" w:tplc="9152951C">
      <w:start w:val="1"/>
      <w:numFmt w:val="lowerRoman"/>
      <w:lvlText w:val="%6."/>
      <w:lvlJc w:val="left"/>
      <w:pPr>
        <w:ind w:left="4140" w:firstLine="0"/>
      </w:pPr>
    </w:lvl>
    <w:lvl w:ilvl="6" w:tplc="B95EE166">
      <w:start w:val="1"/>
      <w:numFmt w:val="decimal"/>
      <w:lvlText w:val="%7."/>
      <w:lvlJc w:val="left"/>
      <w:pPr>
        <w:ind w:left="4680" w:firstLine="0"/>
      </w:pPr>
    </w:lvl>
    <w:lvl w:ilvl="7" w:tplc="A38C9EA0">
      <w:start w:val="1"/>
      <w:numFmt w:val="lowerLetter"/>
      <w:lvlText w:val="%8."/>
      <w:lvlJc w:val="left"/>
      <w:pPr>
        <w:ind w:left="5400" w:firstLine="0"/>
      </w:pPr>
    </w:lvl>
    <w:lvl w:ilvl="8" w:tplc="04660DA4">
      <w:start w:val="1"/>
      <w:numFmt w:val="lowerRoman"/>
      <w:lvlText w:val="%9."/>
      <w:lvlJc w:val="left"/>
      <w:pPr>
        <w:ind w:left="6300" w:firstLine="0"/>
      </w:pPr>
    </w:lvl>
  </w:abstractNum>
  <w:abstractNum w:abstractNumId="6" w15:restartNumberingAfterBreak="0">
    <w:nsid w:val="5B400022"/>
    <w:multiLevelType w:val="hybridMultilevel"/>
    <w:tmpl w:val="689EFCFE"/>
    <w:name w:val="Нумерованный список 1"/>
    <w:lvl w:ilvl="0" w:tplc="4D040FC0">
      <w:start w:val="12"/>
      <w:numFmt w:val="decimal"/>
      <w:lvlText w:val="%1."/>
      <w:lvlJc w:val="left"/>
      <w:pPr>
        <w:ind w:left="360" w:firstLine="0"/>
      </w:pPr>
    </w:lvl>
    <w:lvl w:ilvl="1" w:tplc="88B60D52">
      <w:start w:val="1"/>
      <w:numFmt w:val="lowerLetter"/>
      <w:lvlText w:val="%2."/>
      <w:lvlJc w:val="left"/>
      <w:pPr>
        <w:ind w:left="1080" w:firstLine="0"/>
      </w:pPr>
    </w:lvl>
    <w:lvl w:ilvl="2" w:tplc="73DC477C">
      <w:start w:val="1"/>
      <w:numFmt w:val="lowerRoman"/>
      <w:lvlText w:val="%3."/>
      <w:lvlJc w:val="left"/>
      <w:pPr>
        <w:ind w:left="1980" w:firstLine="0"/>
      </w:pPr>
    </w:lvl>
    <w:lvl w:ilvl="3" w:tplc="D51061F2">
      <w:start w:val="1"/>
      <w:numFmt w:val="decimal"/>
      <w:lvlText w:val="%4."/>
      <w:lvlJc w:val="left"/>
      <w:pPr>
        <w:ind w:left="2520" w:firstLine="0"/>
      </w:pPr>
    </w:lvl>
    <w:lvl w:ilvl="4" w:tplc="DF46FA7A">
      <w:start w:val="1"/>
      <w:numFmt w:val="lowerLetter"/>
      <w:lvlText w:val="%5."/>
      <w:lvlJc w:val="left"/>
      <w:pPr>
        <w:ind w:left="3240" w:firstLine="0"/>
      </w:pPr>
    </w:lvl>
    <w:lvl w:ilvl="5" w:tplc="BC3C02D0">
      <w:start w:val="1"/>
      <w:numFmt w:val="lowerRoman"/>
      <w:lvlText w:val="%6."/>
      <w:lvlJc w:val="left"/>
      <w:pPr>
        <w:ind w:left="4140" w:firstLine="0"/>
      </w:pPr>
    </w:lvl>
    <w:lvl w:ilvl="6" w:tplc="6338DE20">
      <w:start w:val="1"/>
      <w:numFmt w:val="decimal"/>
      <w:lvlText w:val="%7."/>
      <w:lvlJc w:val="left"/>
      <w:pPr>
        <w:ind w:left="4680" w:firstLine="0"/>
      </w:pPr>
    </w:lvl>
    <w:lvl w:ilvl="7" w:tplc="2424D2D8">
      <w:start w:val="1"/>
      <w:numFmt w:val="lowerLetter"/>
      <w:lvlText w:val="%8."/>
      <w:lvlJc w:val="left"/>
      <w:pPr>
        <w:ind w:left="5400" w:firstLine="0"/>
      </w:pPr>
    </w:lvl>
    <w:lvl w:ilvl="8" w:tplc="536271B0">
      <w:start w:val="1"/>
      <w:numFmt w:val="lowerRoman"/>
      <w:lvlText w:val="%9."/>
      <w:lvlJc w:val="left"/>
      <w:pPr>
        <w:ind w:left="6300" w:firstLine="0"/>
      </w:pPr>
    </w:lvl>
  </w:abstractNum>
  <w:abstractNum w:abstractNumId="7" w15:restartNumberingAfterBreak="0">
    <w:nsid w:val="65BF27D3"/>
    <w:multiLevelType w:val="hybridMultilevel"/>
    <w:tmpl w:val="1BA87D00"/>
    <w:name w:val="Нумерованный список 6"/>
    <w:lvl w:ilvl="0" w:tplc="F7506454">
      <w:start w:val="1"/>
      <w:numFmt w:val="decimal"/>
      <w:lvlText w:val="%1."/>
      <w:lvlJc w:val="left"/>
      <w:pPr>
        <w:ind w:left="709" w:firstLine="0"/>
      </w:pPr>
    </w:lvl>
    <w:lvl w:ilvl="1" w:tplc="6CAED982">
      <w:start w:val="1"/>
      <w:numFmt w:val="lowerLetter"/>
      <w:lvlText w:val="%2."/>
      <w:lvlJc w:val="left"/>
      <w:pPr>
        <w:ind w:left="1429" w:firstLine="0"/>
      </w:pPr>
    </w:lvl>
    <w:lvl w:ilvl="2" w:tplc="F3E678B6">
      <w:start w:val="1"/>
      <w:numFmt w:val="lowerRoman"/>
      <w:lvlText w:val="%3."/>
      <w:lvlJc w:val="left"/>
      <w:pPr>
        <w:ind w:left="2329" w:firstLine="0"/>
      </w:pPr>
    </w:lvl>
    <w:lvl w:ilvl="3" w:tplc="7892040E">
      <w:start w:val="1"/>
      <w:numFmt w:val="decimal"/>
      <w:lvlText w:val="%4."/>
      <w:lvlJc w:val="left"/>
      <w:pPr>
        <w:ind w:left="2869" w:firstLine="0"/>
      </w:pPr>
    </w:lvl>
    <w:lvl w:ilvl="4" w:tplc="C67871D8">
      <w:start w:val="1"/>
      <w:numFmt w:val="lowerLetter"/>
      <w:lvlText w:val="%5."/>
      <w:lvlJc w:val="left"/>
      <w:pPr>
        <w:ind w:left="3589" w:firstLine="0"/>
      </w:pPr>
    </w:lvl>
    <w:lvl w:ilvl="5" w:tplc="08E47BC4">
      <w:start w:val="1"/>
      <w:numFmt w:val="lowerRoman"/>
      <w:lvlText w:val="%6."/>
      <w:lvlJc w:val="left"/>
      <w:pPr>
        <w:ind w:left="4489" w:firstLine="0"/>
      </w:pPr>
    </w:lvl>
    <w:lvl w:ilvl="6" w:tplc="95542648">
      <w:start w:val="1"/>
      <w:numFmt w:val="decimal"/>
      <w:lvlText w:val="%7."/>
      <w:lvlJc w:val="left"/>
      <w:pPr>
        <w:ind w:left="5029" w:firstLine="0"/>
      </w:pPr>
    </w:lvl>
    <w:lvl w:ilvl="7" w:tplc="01545556">
      <w:start w:val="1"/>
      <w:numFmt w:val="lowerLetter"/>
      <w:lvlText w:val="%8."/>
      <w:lvlJc w:val="left"/>
      <w:pPr>
        <w:ind w:left="5749" w:firstLine="0"/>
      </w:pPr>
    </w:lvl>
    <w:lvl w:ilvl="8" w:tplc="545470BE">
      <w:start w:val="1"/>
      <w:numFmt w:val="lowerRoman"/>
      <w:lvlText w:val="%9."/>
      <w:lvlJc w:val="left"/>
      <w:pPr>
        <w:ind w:left="6649" w:firstLine="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4C5B"/>
    <w:rsid w:val="00333C13"/>
    <w:rsid w:val="0038627B"/>
    <w:rsid w:val="004E160D"/>
    <w:rsid w:val="00814C5B"/>
    <w:rsid w:val="00ED34E7"/>
    <w:rsid w:val="00F0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AB64F"/>
  <w15:docId w15:val="{5888CC1C-AF73-45DA-88FF-E92AAD33D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color w:val="000000"/>
      <w:sz w:val="24"/>
      <w:szCs w:val="28"/>
    </w:rPr>
  </w:style>
  <w:style w:type="paragraph" w:styleId="1">
    <w:name w:val="heading 1"/>
    <w:basedOn w:val="a"/>
    <w:qFormat/>
    <w:pPr>
      <w:spacing w:before="100" w:beforeAutospacing="1" w:after="100" w:afterAutospacing="1"/>
      <w:outlineLvl w:val="0"/>
    </w:pPr>
    <w:rPr>
      <w:b/>
      <w:bCs/>
      <w:color w:val="auto"/>
      <w:kern w:val="1"/>
      <w:sz w:val="48"/>
      <w:szCs w:val="48"/>
    </w:rPr>
  </w:style>
  <w:style w:type="paragraph" w:styleId="2">
    <w:name w:val="heading 2"/>
    <w:basedOn w:val="1"/>
    <w:next w:val="a"/>
    <w:qFormat/>
    <w:pPr>
      <w:keepNext/>
      <w:keepLines/>
      <w:widowControl w:val="0"/>
      <w:spacing w:before="240" w:beforeAutospacing="0" w:after="60" w:afterAutospacing="0"/>
      <w:outlineLvl w:val="1"/>
    </w:pPr>
    <w:rPr>
      <w:rFonts w:ascii="Arial" w:eastAsia="SimSun" w:hAnsi="Arial" w:cs="Arial"/>
      <w:sz w:val="32"/>
      <w:szCs w:val="32"/>
    </w:rPr>
  </w:style>
  <w:style w:type="paragraph" w:styleId="3">
    <w:name w:val="heading 3"/>
    <w:basedOn w:val="2"/>
    <w:next w:val="a"/>
    <w:qFormat/>
    <w:pPr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qFormat/>
    <w:rPr>
      <w:color w:val="000000"/>
      <w:sz w:val="24"/>
      <w:szCs w:val="28"/>
    </w:rPr>
  </w:style>
  <w:style w:type="paragraph" w:customStyle="1" w:styleId="Style19">
    <w:name w:val="Style19"/>
    <w:basedOn w:val="a"/>
    <w:qFormat/>
    <w:pPr>
      <w:widowControl w:val="0"/>
    </w:pPr>
    <w:rPr>
      <w:rFonts w:ascii="Arial" w:hAnsi="Arial" w:cs="Arial"/>
      <w:color w:val="auto"/>
      <w:szCs w:val="24"/>
    </w:rPr>
  </w:style>
  <w:style w:type="paragraph" w:customStyle="1" w:styleId="Default">
    <w:name w:val="Default"/>
    <w:qFormat/>
    <w:pPr>
      <w:widowControl w:val="0"/>
    </w:pPr>
    <w:rPr>
      <w:color w:val="000000"/>
      <w:sz w:val="24"/>
      <w:szCs w:val="24"/>
    </w:rPr>
  </w:style>
  <w:style w:type="paragraph" w:customStyle="1" w:styleId="Style2">
    <w:name w:val="Style2"/>
    <w:basedOn w:val="a"/>
    <w:qFormat/>
    <w:pPr>
      <w:widowControl w:val="0"/>
    </w:pPr>
    <w:rPr>
      <w:rFonts w:ascii="Arial" w:hAnsi="Arial" w:cs="Arial"/>
      <w:color w:val="auto"/>
      <w:szCs w:val="24"/>
    </w:rPr>
  </w:style>
  <w:style w:type="paragraph" w:customStyle="1" w:styleId="Style20">
    <w:name w:val="Style20"/>
    <w:basedOn w:val="a"/>
    <w:qFormat/>
    <w:pPr>
      <w:widowControl w:val="0"/>
    </w:pPr>
    <w:rPr>
      <w:rFonts w:ascii="Arial" w:hAnsi="Arial" w:cs="Arial"/>
      <w:color w:val="auto"/>
      <w:szCs w:val="24"/>
    </w:rPr>
  </w:style>
  <w:style w:type="paragraph" w:customStyle="1" w:styleId="Style30">
    <w:name w:val="Style30"/>
    <w:basedOn w:val="a"/>
    <w:qFormat/>
    <w:pPr>
      <w:widowControl w:val="0"/>
    </w:pPr>
    <w:rPr>
      <w:rFonts w:ascii="Arial" w:hAnsi="Arial" w:cs="Arial"/>
      <w:color w:val="auto"/>
      <w:szCs w:val="24"/>
    </w:rPr>
  </w:style>
  <w:style w:type="paragraph" w:customStyle="1" w:styleId="Style22">
    <w:name w:val="Style22"/>
    <w:basedOn w:val="a"/>
    <w:qFormat/>
    <w:pPr>
      <w:widowControl w:val="0"/>
    </w:pPr>
    <w:rPr>
      <w:rFonts w:ascii="Arial" w:hAnsi="Arial" w:cs="Arial"/>
      <w:color w:val="auto"/>
      <w:szCs w:val="24"/>
    </w:rPr>
  </w:style>
  <w:style w:type="paragraph" w:styleId="a3">
    <w:name w:val="Body Text"/>
    <w:basedOn w:val="a"/>
    <w:qFormat/>
    <w:pPr>
      <w:jc w:val="center"/>
    </w:pPr>
    <w:rPr>
      <w:rFonts w:ascii="Times Kaz" w:hAnsi="Times Kaz"/>
      <w:color w:val="auto"/>
      <w:sz w:val="20"/>
      <w:szCs w:val="20"/>
    </w:rPr>
  </w:style>
  <w:style w:type="paragraph" w:styleId="a4">
    <w:name w:val="List Paragraph"/>
    <w:basedOn w:val="a"/>
    <w:qFormat/>
    <w:pPr>
      <w:ind w:left="720"/>
      <w:contextualSpacing/>
    </w:pPr>
  </w:style>
  <w:style w:type="paragraph" w:styleId="a5">
    <w:name w:val="Balloon Text"/>
    <w:basedOn w:val="a"/>
    <w:qFormat/>
    <w:rPr>
      <w:rFonts w:ascii="Tahoma" w:hAnsi="Tahoma" w:cs="Tahoma"/>
      <w:sz w:val="16"/>
      <w:szCs w:val="16"/>
    </w:rPr>
  </w:style>
  <w:style w:type="paragraph" w:styleId="30">
    <w:name w:val="Body Text 3"/>
    <w:basedOn w:val="a"/>
    <w:qFormat/>
    <w:pPr>
      <w:spacing w:after="120"/>
    </w:pPr>
    <w:rPr>
      <w:sz w:val="16"/>
      <w:szCs w:val="16"/>
    </w:rPr>
  </w:style>
  <w:style w:type="paragraph" w:styleId="a6">
    <w:name w:val="Title"/>
    <w:basedOn w:val="a"/>
    <w:qFormat/>
    <w:pPr>
      <w:jc w:val="center"/>
    </w:pPr>
    <w:rPr>
      <w:color w:val="auto"/>
      <w:sz w:val="28"/>
      <w:szCs w:val="24"/>
    </w:rPr>
  </w:style>
  <w:style w:type="paragraph" w:styleId="a7">
    <w:name w:val="Normal (Web)"/>
    <w:basedOn w:val="a"/>
    <w:qFormat/>
    <w:pPr>
      <w:spacing w:before="100" w:beforeAutospacing="1" w:after="100" w:afterAutospacing="1"/>
    </w:pPr>
    <w:rPr>
      <w:color w:val="auto"/>
      <w:szCs w:val="24"/>
    </w:rPr>
  </w:style>
  <w:style w:type="paragraph" w:customStyle="1" w:styleId="docfieldheader">
    <w:name w:val="doc_field_header"/>
    <w:basedOn w:val="a"/>
    <w:qFormat/>
    <w:pPr>
      <w:spacing w:before="100" w:beforeAutospacing="1" w:after="100" w:afterAutospacing="1"/>
    </w:pPr>
    <w:rPr>
      <w:color w:val="auto"/>
      <w:szCs w:val="24"/>
    </w:rPr>
  </w:style>
  <w:style w:type="paragraph" w:customStyle="1" w:styleId="4">
    <w:name w:val="Основной текст4"/>
    <w:basedOn w:val="a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300" w:after="1680"/>
      <w:ind w:hanging="1220"/>
      <w:jc w:val="center"/>
    </w:pPr>
    <w:rPr>
      <w:b/>
      <w:color w:val="auto"/>
      <w:kern w:val="1"/>
      <w:sz w:val="26"/>
      <w:szCs w:val="26"/>
    </w:rPr>
  </w:style>
  <w:style w:type="paragraph" w:customStyle="1" w:styleId="20">
    <w:name w:val="Обычный2"/>
    <w:qFormat/>
    <w:pPr>
      <w:pBdr>
        <w:top w:val="nil"/>
        <w:left w:val="nil"/>
        <w:bottom w:val="nil"/>
        <w:right w:val="nil"/>
        <w:between w:val="nil"/>
      </w:pBdr>
    </w:pPr>
    <w:rPr>
      <w:lang w:eastAsia="ru-RU"/>
    </w:rPr>
  </w:style>
  <w:style w:type="character" w:customStyle="1" w:styleId="FontStyle106">
    <w:name w:val="Font Style106"/>
    <w:rPr>
      <w:rFonts w:ascii="Arial" w:hAnsi="Arial" w:cs="Arial"/>
      <w:color w:val="000000"/>
      <w:spacing w:val="158"/>
      <w:sz w:val="18"/>
      <w:szCs w:val="18"/>
    </w:rPr>
  </w:style>
  <w:style w:type="character" w:customStyle="1" w:styleId="FontStyle110">
    <w:name w:val="Font Style110"/>
    <w:rPr>
      <w:rFonts w:ascii="Arial" w:hAnsi="Arial" w:cs="Arial"/>
      <w:color w:val="000000"/>
      <w:sz w:val="20"/>
      <w:szCs w:val="20"/>
    </w:rPr>
  </w:style>
  <w:style w:type="character" w:customStyle="1" w:styleId="11">
    <w:name w:val="Заголовок 1 Знак"/>
    <w:basedOn w:val="a0"/>
    <w:rPr>
      <w:rFonts w:ascii="Times New Roman" w:eastAsia="Times New Roman" w:hAnsi="Times New Roman" w:cs="Times New Roman"/>
      <w:b/>
      <w:bCs/>
      <w:kern w:val="1"/>
      <w:sz w:val="48"/>
      <w:szCs w:val="48"/>
    </w:rPr>
  </w:style>
  <w:style w:type="character" w:customStyle="1" w:styleId="apple-style-span">
    <w:name w:val="apple-style-span"/>
    <w:basedOn w:val="a0"/>
  </w:style>
  <w:style w:type="character" w:customStyle="1" w:styleId="FontStyle71">
    <w:name w:val="Font Style71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77">
    <w:name w:val="Font Style77"/>
    <w:rPr>
      <w:rFonts w:ascii="Arial" w:hAnsi="Arial" w:cs="Arial"/>
      <w:color w:val="000000"/>
      <w:sz w:val="16"/>
      <w:szCs w:val="16"/>
    </w:rPr>
  </w:style>
  <w:style w:type="character" w:customStyle="1" w:styleId="FontStyle48">
    <w:name w:val="Font Style48"/>
    <w:rPr>
      <w:rFonts w:ascii="Arial" w:hAnsi="Arial" w:cs="Arial"/>
      <w:color w:val="000000"/>
      <w:sz w:val="18"/>
      <w:szCs w:val="18"/>
    </w:rPr>
  </w:style>
  <w:style w:type="character" w:customStyle="1" w:styleId="a8">
    <w:name w:val="Основной текст Знак"/>
    <w:basedOn w:val="a0"/>
    <w:rPr>
      <w:rFonts w:ascii="Times Kaz" w:eastAsia="Times New Roman" w:hAnsi="Times Kaz" w:cs="Times New Roman"/>
      <w:sz w:val="20"/>
      <w:szCs w:val="20"/>
    </w:rPr>
  </w:style>
  <w:style w:type="character" w:customStyle="1" w:styleId="apple-converted-space">
    <w:name w:val="apple-converted-space"/>
  </w:style>
  <w:style w:type="character" w:styleId="a9">
    <w:name w:val="Hyperlink"/>
    <w:rPr>
      <w:color w:val="0000FF"/>
      <w:u w:val="single"/>
    </w:rPr>
  </w:style>
  <w:style w:type="character" w:customStyle="1" w:styleId="aa">
    <w:name w:val="Текст выноски Знак"/>
    <w:basedOn w:val="a0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31">
    <w:name w:val="Основной текст 3 Знак"/>
    <w:basedOn w:val="a0"/>
    <w:rPr>
      <w:rFonts w:ascii="Times New Roman" w:eastAsia="Times New Roman" w:hAnsi="Times New Roman" w:cs="Times New Roman"/>
      <w:color w:val="000000"/>
      <w:sz w:val="16"/>
      <w:szCs w:val="16"/>
    </w:rPr>
  </w:style>
  <w:style w:type="character" w:customStyle="1" w:styleId="ab">
    <w:name w:val="Название Знак"/>
    <w:basedOn w:val="a0"/>
    <w:rPr>
      <w:rFonts w:ascii="Times New Roman" w:eastAsia="Times New Roman" w:hAnsi="Times New Roman" w:cs="Times New Roman"/>
      <w:noProof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821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Система РНПЦ</cp:lastModifiedBy>
  <cp:revision>42</cp:revision>
  <cp:lastPrinted>2018-06-11T03:54:00Z</cp:lastPrinted>
  <dcterms:created xsi:type="dcterms:W3CDTF">2015-08-03T06:32:00Z</dcterms:created>
  <dcterms:modified xsi:type="dcterms:W3CDTF">2020-03-10T06:57:00Z</dcterms:modified>
</cp:coreProperties>
</file>